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386A3D" w:rsidP="00DD3AC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63" w:type="dxa"/>
            <w:gridSpan w:val="4"/>
          </w:tcPr>
          <w:p w:rsidR="00DD3AC8" w:rsidRPr="009E7468" w:rsidRDefault="00386A3D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10/04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E87880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Pr="00B74890" w:rsidRDefault="003521A9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</w:t>
            </w:r>
            <w:r w:rsidR="002450F9" w:rsidRPr="009E7468">
              <w:rPr>
                <w:b/>
              </w:rPr>
              <w:t>:</w:t>
            </w:r>
            <w:r w:rsidR="004C7A93">
              <w:t xml:space="preserve"> </w:t>
            </w:r>
            <w:r w:rsidR="00B74890">
              <w:rPr>
                <w:rFonts w:ascii="TrebuchetMS" w:hAnsi="TrebuchetMS" w:cs="TrebuchetMS"/>
              </w:rPr>
              <w:t xml:space="preserve">Readers summarize chunks of text (paragraphs and text features) by pausing and saying to themselves, </w:t>
            </w:r>
            <w:r w:rsidR="00B74890">
              <w:rPr>
                <w:rFonts w:ascii="TrebuchetMS" w:hAnsi="TrebuchetMS" w:cs="TrebuchetMS"/>
              </w:rPr>
              <w:t>“</w:t>
            </w:r>
            <w:r w:rsidR="00B74890">
              <w:rPr>
                <w:rFonts w:ascii="TrebuchetMS" w:hAnsi="TrebuchetMS" w:cs="TrebuchetMS"/>
              </w:rPr>
              <w:t xml:space="preserve">What is the one big thing that this text is teaching and how do all the other details connect with </w:t>
            </w:r>
            <w:r w:rsidR="00B74890">
              <w:rPr>
                <w:rFonts w:ascii="TrebuchetMS" w:hAnsi="TrebuchetMS" w:cs="TrebuchetMS"/>
              </w:rPr>
              <w:t>this?”</w:t>
            </w:r>
            <w:r w:rsidR="00B74890">
              <w:rPr>
                <w:rFonts w:ascii="TrebuchetMS" w:hAnsi="TrebuchetMS" w:cs="TrebuchetMS"/>
              </w:rPr>
              <w:t xml:space="preserve"> Readers monitor for meaning. </w:t>
            </w:r>
            <w:r w:rsidR="00B74890">
              <w:rPr>
                <w:rFonts w:ascii="TrebuchetMS-Italic" w:hAnsi="TrebuchetMS-Italic" w:cs="TrebuchetMS-Italic"/>
                <w:i/>
                <w:iCs/>
              </w:rPr>
              <w:t>Navigating Non-Fiction</w:t>
            </w:r>
            <w:r w:rsidR="00B74890">
              <w:rPr>
                <w:rFonts w:ascii="TrebuchetMS" w:hAnsi="TrebuchetMS" w:cs="TrebuchetMS"/>
              </w:rPr>
              <w:t xml:space="preserve">, session 2) </w:t>
            </w:r>
            <w:r w:rsidR="00B74890">
              <w:rPr>
                <w:rFonts w:ascii="TrebuchetMS" w:hAnsi="TrebuchetMS" w:cs="TrebuchetMS"/>
              </w:rPr>
              <w:t>(RI.2)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>Group 1: Word of the week, What is special about NF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>Group 2: Word of the day, What is special about NF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>Group 3: Word of the day, Prepare to Read NF</w:t>
            </w:r>
          </w:p>
          <w:p w:rsidR="00E37A11" w:rsidRPr="009E7468" w:rsidRDefault="00E37A11">
            <w:pPr>
              <w:rPr>
                <w:b/>
              </w:rPr>
            </w:pPr>
            <w:r>
              <w:rPr>
                <w:b/>
              </w:rPr>
              <w:t>Group 4: Word of the day, Prepare to Read NF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DB5B42" w:rsidRPr="009E7468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>
            <w:r>
              <w:t>~</w:t>
            </w:r>
            <w:r w:rsidR="00DB5B42">
              <w:t>Poem of Week:</w:t>
            </w:r>
            <w:r w:rsidR="00386A3D">
              <w:t xml:space="preserve"> Shel </w:t>
            </w:r>
            <w:r w:rsidR="003258FC">
              <w:t xml:space="preserve">Silverstein- </w:t>
            </w:r>
            <w:r w:rsidR="00107749">
              <w:t xml:space="preserve"> Invitation</w:t>
            </w:r>
          </w:p>
          <w:p w:rsidR="009E6E31" w:rsidRDefault="009E6E31">
            <w:r>
              <w:t>~</w:t>
            </w:r>
            <w:proofErr w:type="spellStart"/>
            <w:r>
              <w:t>Padlet</w:t>
            </w:r>
            <w:proofErr w:type="spellEnd"/>
            <w:r>
              <w:t xml:space="preserve">- </w:t>
            </w:r>
            <w:r w:rsidR="00386A3D">
              <w:t xml:space="preserve">How do you use </w:t>
            </w:r>
            <w:proofErr w:type="spellStart"/>
            <w:r w:rsidR="00386A3D">
              <w:t>NonFiction</w:t>
            </w:r>
            <w:proofErr w:type="spellEnd"/>
            <w:r w:rsidR="00386A3D">
              <w:t xml:space="preserve"> Text Features while </w:t>
            </w:r>
            <w:hyperlink r:id="rId5" w:history="1">
              <w:r w:rsidR="00386A3D" w:rsidRPr="00E37A11">
                <w:rPr>
                  <w:rStyle w:val="Hyperlink"/>
                </w:rPr>
                <w:t>reading</w:t>
              </w:r>
            </w:hyperlink>
            <w:r>
              <w:t>?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3258FC" w:rsidP="003258FC">
            <w:r>
              <w:t>(</w:t>
            </w:r>
            <w:hyperlink r:id="rId6" w:history="1">
              <w:r w:rsidRPr="004057FF">
                <w:rPr>
                  <w:rStyle w:val="Hyperlink"/>
                </w:rPr>
                <w:t>Anchor Chart</w:t>
              </w:r>
            </w:hyperlink>
            <w:r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DB5B42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>We</w:t>
            </w:r>
            <w:r w:rsidR="00DB5B42" w:rsidRPr="00FE7AC7">
              <w:rPr>
                <w:b/>
              </w:rPr>
              <w:t xml:space="preserve"> Do:</w:t>
            </w:r>
          </w:p>
          <w:p w:rsidR="00DB5B42" w:rsidRDefault="003D6903">
            <w:r>
              <w:t>~</w:t>
            </w:r>
            <w:r w:rsidR="009D622D">
              <w:t>Word of the Day</w:t>
            </w:r>
            <w:r w:rsidR="003A5774">
              <w:t>- Abducted</w:t>
            </w:r>
          </w:p>
          <w:p w:rsidR="00E924AB" w:rsidRDefault="003D6903">
            <w:r>
              <w:t>~</w:t>
            </w:r>
            <w:r w:rsidR="003A5774">
              <w:t>Word St</w:t>
            </w:r>
            <w:r w:rsidR="00E924AB">
              <w:t>udy:</w:t>
            </w:r>
            <w:r>
              <w:t xml:space="preserve"> </w:t>
            </w:r>
            <w:r w:rsidR="003A5774">
              <w:t>Prefix-Un</w:t>
            </w:r>
            <w:r>
              <w:t>/</w:t>
            </w:r>
            <w:r w:rsidR="00E924AB">
              <w:t>Suffix-s</w:t>
            </w:r>
          </w:p>
          <w:p w:rsidR="003D6903" w:rsidRDefault="00E924AB" w:rsidP="002577B4">
            <w:r>
              <w:t>Small Group Skill</w:t>
            </w:r>
            <w:r w:rsidR="003D6903">
              <w:t>s</w:t>
            </w:r>
            <w:r>
              <w:t xml:space="preserve">: </w:t>
            </w:r>
          </w:p>
          <w:p w:rsidR="00E37A11" w:rsidRDefault="003D6903" w:rsidP="002577B4">
            <w:r>
              <w:t xml:space="preserve">~What is special about </w:t>
            </w:r>
            <w:hyperlink r:id="rId7" w:history="1">
              <w:r w:rsidRPr="004057FF">
                <w:rPr>
                  <w:rStyle w:val="Hyperlink"/>
                </w:rPr>
                <w:t>Nonfict</w:t>
              </w:r>
              <w:r w:rsidRPr="004057FF">
                <w:rPr>
                  <w:rStyle w:val="Hyperlink"/>
                </w:rPr>
                <w:t>i</w:t>
              </w:r>
              <w:r w:rsidRPr="004057FF">
                <w:rPr>
                  <w:rStyle w:val="Hyperlink"/>
                </w:rPr>
                <w:t>on</w:t>
              </w:r>
            </w:hyperlink>
            <w:r>
              <w:t>?</w:t>
            </w:r>
            <w:r w:rsidR="00E37A11">
              <w:t xml:space="preserve"> Group 1 and 2</w:t>
            </w:r>
          </w:p>
          <w:p w:rsidR="00E37A11" w:rsidRDefault="00E37A11" w:rsidP="002577B4">
            <w:r>
              <w:t xml:space="preserve">Prepare to Read </w:t>
            </w:r>
            <w:hyperlink r:id="rId8" w:history="1">
              <w:r w:rsidRPr="00E37A11">
                <w:rPr>
                  <w:rStyle w:val="Hyperlink"/>
                </w:rPr>
                <w:t>Non Fiction</w:t>
              </w:r>
            </w:hyperlink>
            <w:r>
              <w:t xml:space="preserve"> (group 3 and 4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DB5B42" w:rsidRPr="009E7468" w:rsidRDefault="00DB5B42" w:rsidP="002577B4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 w:rsidR="009E7468">
              <w:rPr>
                <w:b/>
              </w:rPr>
              <w:t>:</w:t>
            </w:r>
          </w:p>
          <w:p w:rsidR="00DB5B42" w:rsidRDefault="003D6903">
            <w:r>
              <w:t>~</w:t>
            </w:r>
            <w:r w:rsidR="00DB5B42">
              <w:t>Fluency</w:t>
            </w:r>
            <w:r w:rsidR="00FE7AC7">
              <w:t xml:space="preserve"> Read</w:t>
            </w:r>
            <w:r w:rsidR="00DB5B42">
              <w:t>:</w:t>
            </w:r>
            <w:r w:rsidR="004C7A93">
              <w:t xml:space="preserve"> </w:t>
            </w:r>
            <w:r w:rsidR="00F03791">
              <w:t>Practice Week</w:t>
            </w:r>
          </w:p>
          <w:p w:rsidR="00FE7AC7" w:rsidRDefault="003D6903">
            <w:r>
              <w:t>~</w:t>
            </w:r>
            <w:r w:rsidR="00FE7AC7">
              <w:t>Listen To:</w:t>
            </w:r>
            <w:r w:rsidR="001104B2">
              <w:t xml:space="preserve"> </w:t>
            </w:r>
            <w:r w:rsidR="00F03791">
              <w:t>A Partner Read</w:t>
            </w:r>
          </w:p>
          <w:p w:rsidR="00FE7AC7" w:rsidRDefault="003D6903">
            <w:r>
              <w:t>~</w:t>
            </w:r>
            <w:r w:rsidR="00FE7AC7">
              <w:t>Read to Self</w:t>
            </w:r>
            <w:r w:rsidR="009E7468">
              <w:t>/ Response to Literature</w:t>
            </w:r>
          </w:p>
          <w:p w:rsidR="003D6903" w:rsidRDefault="003D6903">
            <w:r>
              <w:t>~Prefix/Suffix</w:t>
            </w:r>
            <w:r w:rsidR="00F03791">
              <w:t>- Song, complete activity</w:t>
            </w:r>
          </w:p>
          <w:p w:rsidR="00D168FA" w:rsidRDefault="00D168FA">
            <w:r>
              <w:t>~Typing Practice</w:t>
            </w: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FE7AC7" w:rsidRPr="00D168FA" w:rsidRDefault="003E3F11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3D6903" w:rsidP="00D168FA">
            <w:r>
              <w:t>~</w:t>
            </w:r>
            <w:r w:rsidR="00FE7AC7" w:rsidRPr="00FE7AC7">
              <w:t>Exit Ticket</w:t>
            </w:r>
            <w:r w:rsidR="00FE7AC7">
              <w:t>-</w:t>
            </w:r>
            <w:proofErr w:type="spellStart"/>
            <w:r w:rsidR="00FE7AC7">
              <w:t>Padlet</w:t>
            </w:r>
            <w:proofErr w:type="spellEnd"/>
            <w:r>
              <w:t>-</w:t>
            </w:r>
            <w:r w:rsidR="00D168FA">
              <w:t xml:space="preserve">How will you use Non Fiction text features while </w:t>
            </w:r>
            <w:hyperlink r:id="rId9" w:history="1">
              <w:r w:rsidR="00D168FA" w:rsidRPr="00D168FA">
                <w:rPr>
                  <w:rStyle w:val="Hyperlink"/>
                </w:rPr>
                <w:t>reading</w:t>
              </w:r>
            </w:hyperlink>
            <w:bookmarkStart w:id="0" w:name="_GoBack"/>
            <w:bookmarkEnd w:id="0"/>
            <w:r w:rsidR="009E6E31">
              <w:t>?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430744" w:rsidRPr="009E7468" w:rsidRDefault="00D95261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  <w:p w:rsidR="003E3F11" w:rsidRDefault="00430744">
            <w:r>
              <w:t>(Student Focus)</w:t>
            </w:r>
          </w:p>
          <w:p w:rsidR="00D95261" w:rsidRDefault="00D95261" w:rsidP="00D95261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  <w:p w:rsidR="00D95261" w:rsidRDefault="00430744" w:rsidP="00D95261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next steps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30744"/>
    <w:rsid w:val="004B747E"/>
    <w:rsid w:val="004C7A93"/>
    <w:rsid w:val="004E35C3"/>
    <w:rsid w:val="007B0C9C"/>
    <w:rsid w:val="009040F2"/>
    <w:rsid w:val="009D622D"/>
    <w:rsid w:val="009E6E31"/>
    <w:rsid w:val="009E7468"/>
    <w:rsid w:val="00B67E5E"/>
    <w:rsid w:val="00B74890"/>
    <w:rsid w:val="00BC319E"/>
    <w:rsid w:val="00C7418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lesson-plan/prepare-read-nonfi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lesson-plan/whats-special-about-nonfi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ML17229\Desktop\Resources\Text-Features-Chart-Filled-In%20(1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mjacksonscholar/m252i599cb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jacksonscholar/53v8ptyutx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2016-10-03T12:31:00Z</cp:lastPrinted>
  <dcterms:created xsi:type="dcterms:W3CDTF">2016-10-04T08:39:00Z</dcterms:created>
  <dcterms:modified xsi:type="dcterms:W3CDTF">2016-10-04T08:39:00Z</dcterms:modified>
</cp:coreProperties>
</file>